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AB479E" w:rsidP="001E159E">
      <w:pPr>
        <w:spacing w:after="180"/>
        <w:rPr>
          <w:b/>
          <w:sz w:val="44"/>
          <w:szCs w:val="44"/>
        </w:rPr>
      </w:pPr>
      <w:r>
        <w:rPr>
          <w:b/>
          <w:sz w:val="44"/>
          <w:szCs w:val="44"/>
        </w:rPr>
        <w:t>Warm and cold</w:t>
      </w:r>
    </w:p>
    <w:p w:rsidR="001E159E" w:rsidRDefault="001E159E" w:rsidP="001E159E">
      <w:pPr>
        <w:spacing w:after="180"/>
      </w:pPr>
    </w:p>
    <w:p w:rsidR="00AB479E" w:rsidRPr="00AB479E" w:rsidRDefault="00AB479E" w:rsidP="00AB479E">
      <w:pPr>
        <w:spacing w:line="276" w:lineRule="auto"/>
      </w:pPr>
      <w:r w:rsidRPr="00AB479E">
        <w:rPr>
          <w:lang w:val="en-US"/>
        </w:rPr>
        <w:t>Some objects feel warm to the touch.</w:t>
      </w:r>
    </w:p>
    <w:p w:rsidR="00AB479E" w:rsidRPr="00AB479E" w:rsidRDefault="00AB479E" w:rsidP="00AB479E">
      <w:pPr>
        <w:spacing w:after="360"/>
      </w:pPr>
      <w:r w:rsidRPr="00AB479E">
        <w:rPr>
          <w:lang w:val="en-US"/>
        </w:rPr>
        <w:t>Other objects feel cold to the touch.</w:t>
      </w:r>
    </w:p>
    <w:p w:rsidR="001E159E" w:rsidRPr="00201AC2" w:rsidRDefault="00AB479E" w:rsidP="00AB479E">
      <w:pPr>
        <w:spacing w:after="240"/>
        <w:jc w:val="center"/>
        <w:rPr>
          <w:szCs w:val="18"/>
        </w:rPr>
      </w:pPr>
      <w:r w:rsidRPr="00AB479E">
        <w:rPr>
          <w:noProof/>
          <w:szCs w:val="18"/>
          <w:lang w:eastAsia="en-GB"/>
        </w:rPr>
        <w:drawing>
          <wp:inline distT="0" distB="0" distL="0" distR="0" wp14:anchorId="58995F3F" wp14:editId="6FDFF250">
            <wp:extent cx="3601616" cy="2701212"/>
            <wp:effectExtent l="0" t="0" r="0"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607980" cy="2705985"/>
                    </a:xfrm>
                    <a:prstGeom prst="rect">
                      <a:avLst/>
                    </a:prstGeom>
                  </pic:spPr>
                </pic:pic>
              </a:graphicData>
            </a:graphic>
          </wp:inline>
        </w:drawing>
      </w:r>
    </w:p>
    <w:p w:rsidR="00AB479E" w:rsidRDefault="00AB479E" w:rsidP="00AB479E">
      <w:pPr>
        <w:spacing w:line="276" w:lineRule="auto"/>
        <w:rPr>
          <w:sz w:val="28"/>
          <w:szCs w:val="18"/>
          <w:lang w:val="en-US"/>
        </w:rPr>
      </w:pPr>
    </w:p>
    <w:p w:rsidR="00AB479E" w:rsidRPr="00AB479E" w:rsidRDefault="00AB479E" w:rsidP="00AB479E">
      <w:pPr>
        <w:spacing w:line="276" w:lineRule="auto"/>
        <w:rPr>
          <w:sz w:val="28"/>
          <w:szCs w:val="18"/>
        </w:rPr>
      </w:pPr>
      <w:r w:rsidRPr="00AB479E">
        <w:rPr>
          <w:sz w:val="28"/>
          <w:szCs w:val="18"/>
          <w:lang w:val="en-US"/>
        </w:rPr>
        <w:t>These objects have been in the same place for several hours.</w:t>
      </w:r>
    </w:p>
    <w:p w:rsidR="001E159E" w:rsidRPr="00AB479E" w:rsidRDefault="001E159E" w:rsidP="00AB479E">
      <w:pPr>
        <w:spacing w:after="240"/>
        <w:rPr>
          <w:i/>
        </w:rPr>
      </w:pPr>
      <w:r w:rsidRPr="00AB479E">
        <w:t>For each statement</w:t>
      </w:r>
      <w:r w:rsidR="00AB479E" w:rsidRPr="00AB479E">
        <w:t xml:space="preserve"> about them</w:t>
      </w:r>
      <w:r w:rsidRPr="00AB479E">
        <w:t>, tick (</w:t>
      </w:r>
      <w:r w:rsidRPr="00AB479E">
        <w:sym w:font="Wingdings" w:char="F0FC"/>
      </w:r>
      <w:r w:rsidRPr="00AB479E">
        <w:t xml:space="preserve">) </w:t>
      </w:r>
      <w:r w:rsidRPr="00AB479E">
        <w:rPr>
          <w:b/>
        </w:rPr>
        <w:t>one</w:t>
      </w:r>
      <w:r w:rsidRPr="00AB479E">
        <w:t xml:space="preserve"> column to show what you think</w:t>
      </w:r>
      <w:r w:rsidRPr="00AB479E">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AB479E" w:rsidRDefault="00AB479E" w:rsidP="00677EDD">
            <w:pPr>
              <w:tabs>
                <w:tab w:val="right" w:leader="dot" w:pos="8680"/>
              </w:tabs>
              <w:rPr>
                <w:rFonts w:eastAsia="Times New Roman" w:cs="Times New Roman"/>
                <w:lang w:eastAsia="en-GB"/>
              </w:rPr>
            </w:pPr>
            <w:r w:rsidRPr="00AB479E">
              <w:rPr>
                <w:rFonts w:eastAsia="Times New Roman" w:cs="Times New Roman"/>
                <w:lang w:eastAsia="en-GB"/>
              </w:rPr>
              <w:t>The glass feels cooler than the book.</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AB479E" w:rsidRDefault="00AB479E" w:rsidP="00677EDD">
            <w:pPr>
              <w:tabs>
                <w:tab w:val="right" w:leader="dot" w:pos="8680"/>
              </w:tabs>
              <w:rPr>
                <w:rFonts w:eastAsia="Times New Roman" w:cs="Times New Roman"/>
                <w:lang w:eastAsia="en-GB"/>
              </w:rPr>
            </w:pPr>
            <w:r w:rsidRPr="00AB479E">
              <w:rPr>
                <w:rFonts w:eastAsia="Times New Roman" w:cs="Times New Roman"/>
                <w:lang w:eastAsia="en-GB"/>
              </w:rPr>
              <w:t>The orange has a higher temperature than the mug.</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AB479E" w:rsidRDefault="00AB479E" w:rsidP="00677EDD">
            <w:pPr>
              <w:tabs>
                <w:tab w:val="right" w:leader="dot" w:pos="8680"/>
              </w:tabs>
              <w:rPr>
                <w:rFonts w:eastAsia="Times New Roman" w:cs="Times New Roman"/>
                <w:lang w:eastAsia="en-GB"/>
              </w:rPr>
            </w:pPr>
            <w:r w:rsidRPr="00AB479E">
              <w:rPr>
                <w:rFonts w:eastAsia="Times New Roman" w:cs="Times New Roman"/>
                <w:lang w:eastAsia="en-GB"/>
              </w:rPr>
              <w:t>The temperature of each object is the same.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AB479E" w:rsidRPr="006F3279" w:rsidRDefault="00AB479E" w:rsidP="00AB479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AB479E" w:rsidP="006F3279">
            <w:pPr>
              <w:spacing w:after="60"/>
              <w:ind w:left="1304"/>
              <w:rPr>
                <w:b/>
                <w:sz w:val="40"/>
                <w:szCs w:val="40"/>
              </w:rPr>
            </w:pPr>
            <w:r>
              <w:rPr>
                <w:b/>
                <w:sz w:val="40"/>
                <w:szCs w:val="40"/>
              </w:rPr>
              <w:t>Warm and cold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F513F" w:rsidP="0007651D">
            <w:pPr>
              <w:spacing w:before="60" w:after="60"/>
            </w:pPr>
            <w:r w:rsidRPr="00CF513F">
              <w:t>Energy is transferred through a solid away fro</w:t>
            </w:r>
            <w:r w:rsidR="001763AD">
              <w:t>m regions of higher temperature</w:t>
            </w:r>
            <w:r w:rsidRPr="00CF513F">
              <w:t xml:space="preserve"> as its particles are caused to vibrate more vigorously.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16AD3" w:rsidP="0007651D">
            <w:pPr>
              <w:spacing w:before="60" w:after="60"/>
              <w:rPr>
                <w:b/>
              </w:rPr>
            </w:pPr>
            <w:r w:rsidRPr="00E16AD3">
              <w:t>Explain why different objects in thermal equilibrium feel hotter or cooler to touch.</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7165E" w:rsidP="007B18B8">
            <w:pPr>
              <w:spacing w:before="60" w:after="60"/>
            </w:pPr>
            <w:r>
              <w:t>C</w:t>
            </w:r>
            <w:r w:rsidR="001E159E">
              <w:t>onfidence grid</w:t>
            </w:r>
          </w:p>
        </w:tc>
        <w:bookmarkStart w:id="0" w:name="_GoBack"/>
        <w:bookmarkEnd w:id="0"/>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7165E" w:rsidP="000505CA">
            <w:pPr>
              <w:spacing w:before="60" w:after="60"/>
            </w:pPr>
            <w:r>
              <w:t>Thermal equilibrium, temperature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F513F" w:rsidRDefault="00CF513F" w:rsidP="00CF513F">
      <w:pPr>
        <w:spacing w:after="180"/>
        <w:rPr>
          <w:noProof/>
        </w:rPr>
      </w:pPr>
      <w:r>
        <w:rPr>
          <w:noProof/>
        </w:rPr>
        <w:t xml:space="preserve">It is common for students to </w:t>
      </w:r>
      <w:r w:rsidRPr="0000601B">
        <w:rPr>
          <w:i/>
          <w:noProof/>
        </w:rPr>
        <w:t>not accept</w:t>
      </w:r>
      <w:r>
        <w:rPr>
          <w:noProof/>
        </w:rPr>
        <w:t xml:space="preserve"> that different objects are at the same temperature as each other if they are left in contact with the same surroundings for a long time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 Hatzikraniotis et al., 2010)&lt;/DisplayText&gt;&lt;record&gt;&lt;titles&gt;&lt;title&gt;An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(1)&lt;/volume&gt;&lt;/record&gt;&lt;/Cite&gt;&lt;Cite&gt;&lt;Author&gt;Hatzikraniotis&lt;/Author&gt;&lt;Year&gt;2010&lt;/Year&gt;&lt;IDText&gt;Students&amp;apos; design of experiments: an inquiry module on the conduction of heat&lt;/IDText&gt;&lt;record&gt;&lt;titles&gt;&lt;title&gt;Students&amp;apos;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rPr>
          <w:noProof/>
        </w:rPr>
        <w:fldChar w:fldCharType="separate"/>
      </w:r>
      <w:r>
        <w:rPr>
          <w:noProof/>
        </w:rPr>
        <w:t>(Thomaz et al., 1995; Hatzikraniotis et al., 2010)</w:t>
      </w:r>
      <w:r>
        <w:rPr>
          <w:noProof/>
        </w:rPr>
        <w:fldChar w:fldCharType="end"/>
      </w:r>
      <w:r>
        <w:rPr>
          <w:noProof/>
        </w:rPr>
        <w:t xml:space="preserve">. 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found that just over 40% of 13- to 14-year-olds (n=24) did not understand that objects in thermal equil</w:t>
      </w:r>
      <w:r w:rsidR="00CA758C">
        <w:t>ibrium all have</w:t>
      </w:r>
      <w:r>
        <w:t xml:space="preserve"> the same temperature. </w:t>
      </w:r>
      <w:r>
        <w:rPr>
          <w:noProof/>
        </w:rPr>
        <w:t xml:space="preserve">Understanding the concept of thermal equilibrium is central to understanding other heat and temperature concepts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(Thomaz et al., 1995)</w:t>
      </w:r>
      <w:r>
        <w:rPr>
          <w:noProof/>
        </w:rPr>
        <w:fldChar w:fldCharType="end"/>
      </w:r>
      <w:r>
        <w:rPr>
          <w:noProof/>
        </w:rP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1E783F" w:rsidP="00BF6C8A">
      <w:pPr>
        <w:spacing w:after="180"/>
      </w:pPr>
      <w:r>
        <w:t>Statements A and C are right; and statement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1E783F" w:rsidP="00A01222">
      <w:pPr>
        <w:spacing w:after="180"/>
      </w:pPr>
      <w:r>
        <w:t>An understanding of thermal equilibrium is essential if students are to be able to explain why objects with different thermal conductivities feel warmer or cooler to the touch.</w:t>
      </w:r>
    </w:p>
    <w:p w:rsidR="00961483" w:rsidRDefault="0008362F" w:rsidP="00A01222">
      <w:pPr>
        <w:spacing w:after="180"/>
      </w:pPr>
      <w:r>
        <w:lastRenderedPageBreak/>
        <w:t xml:space="preserve">All of the objects </w:t>
      </w:r>
      <w:r w:rsidR="009262BC">
        <w:t xml:space="preserve">in this question </w:t>
      </w:r>
      <w:r w:rsidR="00961483">
        <w:t>are</w:t>
      </w:r>
      <w:r>
        <w:t xml:space="preserve"> at room temperature </w:t>
      </w:r>
      <w:r w:rsidR="00961483">
        <w:t xml:space="preserve">and </w:t>
      </w:r>
      <w:r>
        <w:t xml:space="preserve">are cooler than the hand, perhaps </w:t>
      </w:r>
      <w:r w:rsidR="009262BC">
        <w:t xml:space="preserve">by </w:t>
      </w:r>
      <w:r>
        <w:t>about 15</w:t>
      </w:r>
      <w:r w:rsidRPr="0008362F">
        <w:rPr>
          <w:vertAlign w:val="superscript"/>
        </w:rPr>
        <w:t>o</w:t>
      </w:r>
      <w:r>
        <w:t>C</w:t>
      </w:r>
      <w:r w:rsidR="00961483">
        <w:t xml:space="preserve">, but they do not all </w:t>
      </w:r>
      <w:r w:rsidR="00961483" w:rsidRPr="00B074AF">
        <w:rPr>
          <w:i/>
        </w:rPr>
        <w:t xml:space="preserve">feel </w:t>
      </w:r>
      <w:r w:rsidR="00961483">
        <w:t>t</w:t>
      </w:r>
      <w:r w:rsidR="00B074AF">
        <w:t>o be at t</w:t>
      </w:r>
      <w:r w:rsidR="00961483">
        <w:t>he same temperature. It is a common misunderstanding for students to interpret the</w:t>
      </w:r>
      <w:r w:rsidR="00836715">
        <w:t xml:space="preserve"> sensation </w:t>
      </w:r>
      <w:r w:rsidR="009262BC">
        <w:t xml:space="preserve">they feel as </w:t>
      </w:r>
      <w:r w:rsidR="00836715">
        <w:t>hotness or coolness as temperature.</w:t>
      </w:r>
      <w:r w:rsidR="00961483">
        <w:t xml:space="preserve"> </w:t>
      </w:r>
    </w:p>
    <w:p w:rsidR="001E783F" w:rsidRDefault="001E783F" w:rsidP="00A01222">
      <w:pPr>
        <w:spacing w:after="180"/>
      </w:pPr>
      <w:r>
        <w:t xml:space="preserve">The glass feels cooler than the book because </w:t>
      </w:r>
      <w:r w:rsidR="009D78DD">
        <w:t>glass</w:t>
      </w:r>
      <w:r>
        <w:t xml:space="preserve"> is a better thermal conductor</w:t>
      </w:r>
      <w:r w:rsidR="009D78DD">
        <w:t xml:space="preserve"> than paper</w:t>
      </w:r>
      <w:r>
        <w:t xml:space="preserve">. </w:t>
      </w:r>
      <w:r w:rsidR="0008362F">
        <w:t xml:space="preserve">This means that </w:t>
      </w:r>
      <w:r>
        <w:t xml:space="preserve">heating from the hand </w:t>
      </w:r>
      <w:r w:rsidR="0008362F">
        <w:t>warms</w:t>
      </w:r>
      <w:r>
        <w:t xml:space="preserve"> the </w:t>
      </w:r>
      <w:r w:rsidRPr="009D78DD">
        <w:rPr>
          <w:i/>
        </w:rPr>
        <w:t xml:space="preserve">whole </w:t>
      </w:r>
      <w:r>
        <w:t xml:space="preserve">of the glass </w:t>
      </w:r>
      <w:r w:rsidR="0008362F">
        <w:t xml:space="preserve">and </w:t>
      </w:r>
      <w:r w:rsidR="009D78DD">
        <w:t>this means that the</w:t>
      </w:r>
      <w:r w:rsidR="0008362F">
        <w:t xml:space="preserve"> temperature of the glass rises slowly.</w:t>
      </w:r>
    </w:p>
    <w:p w:rsidR="00961483" w:rsidRPr="001E783F" w:rsidRDefault="001E783F" w:rsidP="00A01222">
      <w:pPr>
        <w:spacing w:after="180"/>
      </w:pPr>
      <w:r>
        <w:t xml:space="preserve">The orange, book and plastic box all feel warmer than either the mug or glass because they are bad thermal conductors. </w:t>
      </w:r>
      <w:r w:rsidR="0008362F">
        <w:t xml:space="preserve">Heating from the hand warms only the small part of </w:t>
      </w:r>
      <w:r w:rsidR="009D78DD">
        <w:t>the</w:t>
      </w:r>
      <w:r w:rsidR="0008362F">
        <w:t xml:space="preserve"> object that it is touching and the temperature of that part quickly increases and feels warm. The temperature of the rest of the object remains at or very close to room temperature.</w:t>
      </w:r>
      <w:r>
        <w:t xml:space="preserve"> </w:t>
      </w:r>
    </w:p>
    <w:p w:rsidR="000C3211" w:rsidRDefault="00A01222" w:rsidP="00A01222">
      <w:pPr>
        <w:spacing w:after="180"/>
      </w:pPr>
      <w:r w:rsidRPr="004F039C">
        <w:t xml:space="preserve">If students have </w:t>
      </w:r>
      <w:r w:rsidR="004B1C32">
        <w:t>misunderstanding</w:t>
      </w:r>
      <w:r w:rsidRPr="004F039C">
        <w:t xml:space="preserve">s about </w:t>
      </w:r>
      <w:r w:rsidR="0099353F">
        <w:rPr>
          <w:rFonts w:cstheme="minorHAnsi"/>
          <w:sz w:val="20"/>
          <w:szCs w:val="20"/>
        </w:rPr>
        <w:t>why different objects in thermal equilibrium feel hotter or cooler to touch</w:t>
      </w:r>
      <w:r w:rsidRPr="004F039C">
        <w:t xml:space="preserve">, </w:t>
      </w:r>
      <w:r w:rsidR="0099353F">
        <w:t xml:space="preserve">it can help to give students the opportunity to feel and </w:t>
      </w:r>
      <w:r w:rsidR="00FF572C">
        <w:t xml:space="preserve">to </w:t>
      </w:r>
      <w:r w:rsidR="0099353F">
        <w:t>measure the temperature of different materials</w:t>
      </w:r>
      <w:r w:rsidR="00FF572C" w:rsidRPr="00FF572C">
        <w:t xml:space="preserve"> </w:t>
      </w:r>
      <w:r w:rsidR="00FF572C">
        <w:t>that</w:t>
      </w:r>
      <w:r w:rsidR="009D78DD">
        <w:t xml:space="preserve"> are</w:t>
      </w:r>
      <w:r w:rsidR="00FF572C">
        <w:t xml:space="preserve"> in thermal equilibrium, in order</w:t>
      </w:r>
      <w:r w:rsidR="0099353F">
        <w:t xml:space="preserve"> to </w:t>
      </w:r>
      <w:r w:rsidR="00FF572C">
        <w:t xml:space="preserve">challenge any misunderstandings and to </w:t>
      </w:r>
      <w:r w:rsidR="0099353F">
        <w:t xml:space="preserve">prove that </w:t>
      </w:r>
      <w:r w:rsidR="00FF572C">
        <w:t>they</w:t>
      </w:r>
      <w:r w:rsidR="0099353F">
        <w:t xml:space="preserve"> are</w:t>
      </w:r>
      <w:r w:rsidR="009D78DD">
        <w:t xml:space="preserve"> all </w:t>
      </w:r>
      <w:r w:rsidR="0099353F">
        <w:t>at the same temperature</w:t>
      </w:r>
      <w:r>
        <w:t xml:space="preserve"> </w:t>
      </w:r>
      <w:r w:rsidR="0099353F">
        <w:t>as each other.</w:t>
      </w:r>
      <w:r w:rsidR="00FF572C">
        <w:t xml:space="preserve"> </w:t>
      </w:r>
    </w:p>
    <w:p w:rsidR="000C3211" w:rsidRDefault="000C3211" w:rsidP="00A01222">
      <w:pPr>
        <w:spacing w:after="180"/>
      </w:pPr>
      <w:r>
        <w:t>Focused small group discussions can support the social construction of a scientific understanding through dialogue. Giving students the opportunity to apply their understanding of why objects at the same temperature can feel warmer or cooler to new situations can consolidate their understanding.</w:t>
      </w:r>
    </w:p>
    <w:p w:rsidR="00A01222" w:rsidRPr="00CB7420" w:rsidRDefault="00A01222" w:rsidP="00A01222">
      <w:pPr>
        <w:spacing w:after="180"/>
      </w:pPr>
      <w:r w:rsidRPr="00CB7420">
        <w:t xml:space="preserve">The following BEST ‘response </w:t>
      </w:r>
      <w:r w:rsidR="00F2483A" w:rsidRPr="00CB7420">
        <w:t>activitie</w:t>
      </w:r>
      <w:r w:rsidRPr="00CB7420">
        <w:t xml:space="preserve">s’ could be used </w:t>
      </w:r>
      <w:r w:rsidR="000C3211">
        <w:t xml:space="preserve">to do these things, </w:t>
      </w:r>
      <w:r w:rsidRPr="00CB7420">
        <w:t>in follow-up to this diagnostic question:</w:t>
      </w:r>
    </w:p>
    <w:p w:rsidR="00A01222" w:rsidRPr="00CB7420" w:rsidRDefault="00A01222" w:rsidP="00A01222">
      <w:pPr>
        <w:pStyle w:val="ListParagraph"/>
        <w:numPr>
          <w:ilvl w:val="0"/>
          <w:numId w:val="1"/>
        </w:numPr>
        <w:spacing w:after="180"/>
      </w:pPr>
      <w:r w:rsidRPr="00CB7420">
        <w:t xml:space="preserve">Response </w:t>
      </w:r>
      <w:r w:rsidR="00F2483A" w:rsidRPr="00CB7420">
        <w:t>activity</w:t>
      </w:r>
      <w:r w:rsidRPr="00CB7420">
        <w:t xml:space="preserve">: </w:t>
      </w:r>
      <w:r w:rsidR="00CB7420" w:rsidRPr="00CB7420">
        <w:t>Thermal equilibrium</w:t>
      </w:r>
    </w:p>
    <w:p w:rsidR="00CB7420" w:rsidRPr="00CB7420" w:rsidRDefault="00CB7420" w:rsidP="00A01222">
      <w:pPr>
        <w:pStyle w:val="ListParagraph"/>
        <w:numPr>
          <w:ilvl w:val="0"/>
          <w:numId w:val="1"/>
        </w:numPr>
        <w:spacing w:after="180"/>
      </w:pPr>
      <w:r w:rsidRPr="00CB7420">
        <w:t>Response activity:</w:t>
      </w:r>
      <w:r>
        <w:t xml:space="preserve"> </w:t>
      </w:r>
      <w:r w:rsidRPr="00CB7420">
        <w:t>Melting ice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55ECB">
        <w:t>).</w:t>
      </w:r>
    </w:p>
    <w:p w:rsidR="00CC78A5" w:rsidRDefault="00D278E8" w:rsidP="00E172C6">
      <w:pPr>
        <w:spacing w:after="180"/>
      </w:pPr>
      <w:r w:rsidRPr="0045323E">
        <w:t xml:space="preserve">Images: </w:t>
      </w:r>
      <w:r w:rsidR="007D536F">
        <w:t>Peter Fairhurst (UYSEG)</w:t>
      </w:r>
      <w:r w:rsidR="00B55ECB">
        <w:t>.</w:t>
      </w:r>
    </w:p>
    <w:p w:rsidR="00CF513F" w:rsidRDefault="003117F6" w:rsidP="00E24309">
      <w:pPr>
        <w:spacing w:after="180"/>
        <w:rPr>
          <w:b/>
          <w:color w:val="5F497A" w:themeColor="accent4" w:themeShade="BF"/>
          <w:sz w:val="24"/>
        </w:rPr>
      </w:pPr>
      <w:r w:rsidRPr="002C79AE">
        <w:rPr>
          <w:b/>
          <w:color w:val="5F497A" w:themeColor="accent4" w:themeShade="BF"/>
          <w:sz w:val="24"/>
        </w:rPr>
        <w:t>References</w:t>
      </w:r>
    </w:p>
    <w:p w:rsidR="00CF513F" w:rsidRPr="00CF513F" w:rsidRDefault="00CF513F" w:rsidP="00B55EC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F513F">
        <w:t xml:space="preserve">Hatzikraniotis, E., et al. (2010). Students' design of experiments: an inquiry module on the conduction of heat. </w:t>
      </w:r>
      <w:r w:rsidRPr="00CF513F">
        <w:rPr>
          <w:i/>
        </w:rPr>
        <w:t>Physics Education,</w:t>
      </w:r>
      <w:r w:rsidRPr="00CF513F">
        <w:t xml:space="preserve"> 45 (4)</w:t>
      </w:r>
      <w:r w:rsidRPr="00CF513F">
        <w:rPr>
          <w:b/>
        </w:rPr>
        <w:t>,</w:t>
      </w:r>
      <w:r w:rsidRPr="00CF513F">
        <w:t xml:space="preserve"> 335-344.</w:t>
      </w:r>
    </w:p>
    <w:p w:rsidR="00CF513F" w:rsidRPr="00CF513F" w:rsidRDefault="00CF513F" w:rsidP="00B55ECB">
      <w:pPr>
        <w:pStyle w:val="EndNoteBibliography"/>
        <w:spacing w:after="120"/>
        <w:ind w:left="426" w:hanging="426"/>
      </w:pPr>
      <w:r w:rsidRPr="00CF513F">
        <w:t xml:space="preserve">Thomaz, M. F., et al. (1995). An attempt to overcome alternative conceptions related to heat and temperature. </w:t>
      </w:r>
      <w:r w:rsidRPr="00CF513F">
        <w:rPr>
          <w:i/>
        </w:rPr>
        <w:t>Physics Education,</w:t>
      </w:r>
      <w:r w:rsidRPr="00CF513F">
        <w:t xml:space="preserve"> 30 (1)</w:t>
      </w:r>
      <w:r w:rsidRPr="00CF513F">
        <w:rPr>
          <w:b/>
        </w:rPr>
        <w:t>,</w:t>
      </w:r>
      <w:r w:rsidRPr="00CF513F">
        <w:t xml:space="preserve"> 19-26.</w:t>
      </w:r>
    </w:p>
    <w:p w:rsidR="00B46FF9" w:rsidRDefault="00CF513F" w:rsidP="00B55ECB">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AD3" w:rsidRDefault="00E16AD3" w:rsidP="000B473B">
      <w:r>
        <w:separator/>
      </w:r>
    </w:p>
  </w:endnote>
  <w:endnote w:type="continuationSeparator" w:id="0">
    <w:p w:rsidR="00E16AD3" w:rsidRDefault="00E16AD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E68EE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763A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AD3" w:rsidRDefault="00E16AD3" w:rsidP="000B473B">
      <w:r>
        <w:separator/>
      </w:r>
    </w:p>
  </w:footnote>
  <w:footnote w:type="continuationSeparator" w:id="0">
    <w:p w:rsidR="00E16AD3" w:rsidRDefault="00E16AD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43CA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2A69E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16AD3"/>
    <w:rsid w:val="00015578"/>
    <w:rsid w:val="00024731"/>
    <w:rsid w:val="00026DEC"/>
    <w:rsid w:val="000505CA"/>
    <w:rsid w:val="0007651D"/>
    <w:rsid w:val="0008362F"/>
    <w:rsid w:val="0009089A"/>
    <w:rsid w:val="000947E2"/>
    <w:rsid w:val="00095E04"/>
    <w:rsid w:val="000A0D12"/>
    <w:rsid w:val="000B473B"/>
    <w:rsid w:val="000C3211"/>
    <w:rsid w:val="000D0E89"/>
    <w:rsid w:val="000E2689"/>
    <w:rsid w:val="00142613"/>
    <w:rsid w:val="00144DA7"/>
    <w:rsid w:val="0015356E"/>
    <w:rsid w:val="00161D3F"/>
    <w:rsid w:val="001763AD"/>
    <w:rsid w:val="001915D4"/>
    <w:rsid w:val="001A1FED"/>
    <w:rsid w:val="001A40E2"/>
    <w:rsid w:val="001C4805"/>
    <w:rsid w:val="001E159E"/>
    <w:rsid w:val="001E783F"/>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36715"/>
    <w:rsid w:val="008450D6"/>
    <w:rsid w:val="00856FCA"/>
    <w:rsid w:val="0087165E"/>
    <w:rsid w:val="00873B8C"/>
    <w:rsid w:val="00880E3B"/>
    <w:rsid w:val="008A405F"/>
    <w:rsid w:val="008C7F34"/>
    <w:rsid w:val="008E580C"/>
    <w:rsid w:val="0090047A"/>
    <w:rsid w:val="00925026"/>
    <w:rsid w:val="009262BC"/>
    <w:rsid w:val="00931264"/>
    <w:rsid w:val="00942A4B"/>
    <w:rsid w:val="00961483"/>
    <w:rsid w:val="00961D59"/>
    <w:rsid w:val="0099353F"/>
    <w:rsid w:val="009B2D55"/>
    <w:rsid w:val="009C0343"/>
    <w:rsid w:val="009D78DD"/>
    <w:rsid w:val="009E0D11"/>
    <w:rsid w:val="009F2253"/>
    <w:rsid w:val="00A01222"/>
    <w:rsid w:val="00A24A16"/>
    <w:rsid w:val="00A37D14"/>
    <w:rsid w:val="00A6111E"/>
    <w:rsid w:val="00A6168B"/>
    <w:rsid w:val="00A62028"/>
    <w:rsid w:val="00AA5B77"/>
    <w:rsid w:val="00AA6236"/>
    <w:rsid w:val="00AB479E"/>
    <w:rsid w:val="00AB6AE7"/>
    <w:rsid w:val="00AD21F5"/>
    <w:rsid w:val="00B06225"/>
    <w:rsid w:val="00B074AF"/>
    <w:rsid w:val="00B23C7A"/>
    <w:rsid w:val="00B305F5"/>
    <w:rsid w:val="00B46FF9"/>
    <w:rsid w:val="00B47E1D"/>
    <w:rsid w:val="00B55ECB"/>
    <w:rsid w:val="00B75483"/>
    <w:rsid w:val="00BA7952"/>
    <w:rsid w:val="00BB44B4"/>
    <w:rsid w:val="00BF0BBF"/>
    <w:rsid w:val="00BF6C8A"/>
    <w:rsid w:val="00C05571"/>
    <w:rsid w:val="00C246CE"/>
    <w:rsid w:val="00C54711"/>
    <w:rsid w:val="00C57FA2"/>
    <w:rsid w:val="00CA758C"/>
    <w:rsid w:val="00CB7420"/>
    <w:rsid w:val="00CC2E4D"/>
    <w:rsid w:val="00CC78A5"/>
    <w:rsid w:val="00CC7B16"/>
    <w:rsid w:val="00CE15FE"/>
    <w:rsid w:val="00CF513F"/>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6AD3"/>
    <w:rsid w:val="00E172C6"/>
    <w:rsid w:val="00E24309"/>
    <w:rsid w:val="00E53D82"/>
    <w:rsid w:val="00E9330A"/>
    <w:rsid w:val="00EE6B97"/>
    <w:rsid w:val="00F12C3B"/>
    <w:rsid w:val="00F2483A"/>
    <w:rsid w:val="00F26884"/>
    <w:rsid w:val="00F72ECC"/>
    <w:rsid w:val="00F8355F"/>
    <w:rsid w:val="00FA3196"/>
    <w:rsid w:val="00FF5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6E5ACF"/>
  <w15:docId w15:val="{BD6ADEBB-C5C1-4307-9D5D-73390E7C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F513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513F"/>
    <w:rPr>
      <w:rFonts w:ascii="Calibri" w:hAnsi="Calibri" w:cs="Calibri"/>
      <w:noProof/>
      <w:lang w:val="en-US"/>
    </w:rPr>
  </w:style>
  <w:style w:type="paragraph" w:customStyle="1" w:styleId="EndNoteBibliography">
    <w:name w:val="EndNote Bibliography"/>
    <w:basedOn w:val="Normal"/>
    <w:link w:val="EndNoteBibliographyChar"/>
    <w:rsid w:val="00CF513F"/>
    <w:rPr>
      <w:rFonts w:ascii="Calibri" w:hAnsi="Calibri" w:cs="Calibri"/>
      <w:noProof/>
      <w:lang w:val="en-US"/>
    </w:rPr>
  </w:style>
  <w:style w:type="character" w:customStyle="1" w:styleId="EndNoteBibliographyChar">
    <w:name w:val="EndNote Bibliography Char"/>
    <w:basedOn w:val="DefaultParagraphFont"/>
    <w:link w:val="EndNoteBibliography"/>
    <w:rsid w:val="00CF513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37733568">
      <w:bodyDiv w:val="1"/>
      <w:marLeft w:val="0"/>
      <w:marRight w:val="0"/>
      <w:marTop w:val="0"/>
      <w:marBottom w:val="0"/>
      <w:divBdr>
        <w:top w:val="none" w:sz="0" w:space="0" w:color="auto"/>
        <w:left w:val="none" w:sz="0" w:space="0" w:color="auto"/>
        <w:bottom w:val="none" w:sz="0" w:space="0" w:color="auto"/>
        <w:right w:val="none" w:sz="0" w:space="0" w:color="auto"/>
      </w:divBdr>
    </w:div>
    <w:div w:id="663356487">
      <w:bodyDiv w:val="1"/>
      <w:marLeft w:val="0"/>
      <w:marRight w:val="0"/>
      <w:marTop w:val="0"/>
      <w:marBottom w:val="0"/>
      <w:divBdr>
        <w:top w:val="none" w:sz="0" w:space="0" w:color="auto"/>
        <w:left w:val="none" w:sz="0" w:space="0" w:color="auto"/>
        <w:bottom w:val="none" w:sz="0" w:space="0" w:color="auto"/>
        <w:right w:val="none" w:sz="0" w:space="0" w:color="auto"/>
      </w:divBdr>
    </w:div>
    <w:div w:id="1079669673">
      <w:bodyDiv w:val="1"/>
      <w:marLeft w:val="0"/>
      <w:marRight w:val="0"/>
      <w:marTop w:val="0"/>
      <w:marBottom w:val="0"/>
      <w:divBdr>
        <w:top w:val="none" w:sz="0" w:space="0" w:color="auto"/>
        <w:left w:val="none" w:sz="0" w:space="0" w:color="auto"/>
        <w:bottom w:val="none" w:sz="0" w:space="0" w:color="auto"/>
        <w:right w:val="none" w:sz="0" w:space="0" w:color="auto"/>
      </w:divBdr>
    </w:div>
    <w:div w:id="1220095406">
      <w:bodyDiv w:val="1"/>
      <w:marLeft w:val="0"/>
      <w:marRight w:val="0"/>
      <w:marTop w:val="0"/>
      <w:marBottom w:val="0"/>
      <w:divBdr>
        <w:top w:val="none" w:sz="0" w:space="0" w:color="auto"/>
        <w:left w:val="none" w:sz="0" w:space="0" w:color="auto"/>
        <w:bottom w:val="none" w:sz="0" w:space="0" w:color="auto"/>
        <w:right w:val="none" w:sz="0" w:space="0" w:color="auto"/>
      </w:divBdr>
    </w:div>
    <w:div w:id="165013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50</TotalTime>
  <Pages>3</Pages>
  <Words>1329</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2020-06-29T12:21:00Z</dcterms:created>
  <dcterms:modified xsi:type="dcterms:W3CDTF">2020-07-03T10:55:00Z</dcterms:modified>
</cp:coreProperties>
</file>